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9d5d2bcb5570c9de86553708c26e332fe29838"/>
    <w:p>
      <w:pPr>
        <w:pStyle w:val="Heading3"/>
      </w:pPr>
      <w:r>
        <w:t xml:space="preserve">Информация о пунктах приёма ртутьсодержащих ламп в Донском районе города Москвы</w:t>
      </w:r>
    </w:p>
    <w:p>
      <w:pPr>
        <w:pStyle w:val="FirstParagraph"/>
      </w:pPr>
      <w:r>
        <w:t xml:space="preserve">15.05.2019</w:t>
      </w:r>
    </w:p>
    <w:p>
      <w:pPr>
        <w:pStyle w:val="BodyText"/>
      </w:pPr>
      <w:r>
        <w:t xml:space="preserve">В соответствии с распоряжением Правительства Москвы от 19.05.2010г. № 949-РП "Об организации работ по централизованному сбору, транспортировке и переработке отработанных ртутьсодержащих люминесцентных и компактных люминесцентных ламп" в Донском районе города Москвы в постоянном режиме функционируют пункты сбора ртутьсодержащих ламп от населения.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Сбор осуществляется в объединенных диспетчерских службах района по следующим адресам:</w:t>
      </w:r>
    </w:p>
    <w:p>
      <w:pPr>
        <w:pStyle w:val="BodyText"/>
      </w:pPr>
      <w:r>
        <w:t xml:space="preserve">- Ленинский проспект, дом 20 (ОДС №871)</w:t>
      </w:r>
    </w:p>
    <w:p>
      <w:pPr>
        <w:pStyle w:val="BodyText"/>
      </w:pPr>
      <w:r>
        <w:t xml:space="preserve">- улица Шаболовка, дом 50 (ОДС №240)</w:t>
      </w:r>
    </w:p>
    <w:p>
      <w:pPr>
        <w:pStyle w:val="BodyText"/>
      </w:pPr>
      <w:r>
        <w:t xml:space="preserve">- Севастопольский проспект, дом 3, корпус 1 (ОДС №872)</w:t>
      </w:r>
    </w:p>
    <w:p>
      <w:pPr>
        <w:pStyle w:val="BodyText"/>
      </w:pPr>
      <w:r>
        <w:t xml:space="preserve">- Варшавское шоссе, дом 2 (ОДС №816)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Время работы: ежедневно с 09.00 до 21.00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http://donskoy.mos.ru/blagoustroistvo/information/detail/8083982.html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blagoustroistvo/information/detail/80839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blagoustroistvo/information/detail/80839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2025-08-01T07:14:26Z</dcterms:created>
  <dcterms:modified xsi:type="dcterms:W3CDTF">2025-08-01T07:14:26Z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