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a08e293271e489ff25d1af16ef5a690813f449"/>
    <w:p>
      <w:pPr>
        <w:pStyle w:val="Heading3"/>
      </w:pPr>
      <w:r>
        <w:t xml:space="preserve">О проведении бесплатных обучающих семинаров для представителей строительных и проектных организаций</w:t>
      </w:r>
    </w:p>
    <w:p>
      <w:pPr>
        <w:pStyle w:val="FirstParagraph"/>
      </w:pPr>
      <w:r>
        <w:t xml:space="preserve">08.07.2020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61f/grafik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0b2/grafik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ca7/grafik_page_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http://donskoy.mos.ru/blagoustroistvo/information/detail/9012101.html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Донского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donskoy.mos.ru" TargetMode="External" /><Relationship Type="http://schemas.openxmlformats.org/officeDocument/2006/relationships/hyperlink" Id="rId29" Target="http://donskoy.mos.ru/blagoustroistvo/information/detail/9012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onskoy.mos.ru" TargetMode="External" /><Relationship Type="http://schemas.openxmlformats.org/officeDocument/2006/relationships/hyperlink" Id="rId29" Target="http://donskoy.mos.ru/blagoustroistvo/information/detail/9012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2025-05-12T22:18:30Z</dcterms:created>
  <dcterms:modified xsi:type="dcterms:W3CDTF">2025-05-12T22:18:30Z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