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463a1bfc51b098b70f094b2515a0fea03f14cc"/>
    <w:p>
      <w:pPr>
        <w:pStyle w:val="Heading3"/>
      </w:pPr>
      <w:r>
        <w:t xml:space="preserve">Более 400 социальных объектов построят в кварталах реновации</w:t>
      </w:r>
    </w:p>
    <w:p>
      <w:pPr>
        <w:pStyle w:val="FirstParagraph"/>
      </w:pPr>
      <w:r>
        <w:t xml:space="preserve">12.08.2020</w:t>
      </w:r>
    </w:p>
    <w:p>
      <w:pPr>
        <w:pStyle w:val="BodyText"/>
      </w:pPr>
      <w:r>
        <w:t xml:space="preserve">«В московских кварталах реновации создадут качественную и социально ориентированную городскую среду. Все кварталы реновации направлены на обеспечение жителей необходимыми объектами социальной инфраструктуры. Всего в рамках Программы реновации запланировано строительство более 250 отдельно стоящих объектов образования: школ, детских садов, учебных корпусов, более 30 объектов здравоохранения и порядка 50 физкультурно-оздоровительных комплексов, а также других различных объектов социального назначения», - сообщил на пресс-брифинге «Этапы переселения участников программы реновации» заместитель руководителя Департамента строительства Москвы Александр Николаевич Ломакин.</w:t>
      </w:r>
    </w:p>
    <w:p>
      <w:pPr>
        <w:pStyle w:val="BodyText"/>
      </w:pPr>
      <w:r>
        <w:t xml:space="preserve">Он также отметил, что кроме этого в кварталах появятся и встроенно-пристроенные объекты образования, культуры, медицинские учреждения, которые смогут разместиться на первых этажах жилых домов, построенных по программе реновации. Во дворах разместятся площадки для детских игр, для занятий спортом и для отдыха.</w:t>
      </w:r>
    </w:p>
    <w:p>
      <w:pPr>
        <w:pStyle w:val="BodyText"/>
      </w:pPr>
      <w:r>
        <w:t xml:space="preserve">Как отметил первый заместитель директора Фонда реновации Дворецкий Владимир Станиславович: «В рамках реализации программы реновации выиграют не только жители сносимых пятиэтажек, но и жители всех домов в районе. Так, благодаря реновации в жилых кварталах появятся новые социальные, спортивные и культурные объекты, которыми смогут пользоваться москвичи. Еще один из приоритетных итогов реализации программы - позитивная динамика изменения капитализации квартир - как в новостройках реновации по сравнению с жильем в домах-участниках, так и жилья москвичей, не участвующих в программе».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http://donskoy.mos.ru/blagoustroistvo/information/detail/9127896.html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blagoustroistvo/information/detail/9127896.html" TargetMode="External" /><Relationship Type="http://schemas.openxmlformats.org/officeDocument/2006/relationships/hyperlink" Id="rId21" Target="https://owa.mos.ru/owa/redir.aspx?REF=NsMQazJPg2eMfXZq0zZVqdx7HuoKDq7Q4hIp7UzAARQ-eSYExj7YCAFodHRwczovL3d3dy5tb3MucnUvY2l0eS9wcm9qZWN0cy9yZW5vdmF0aW9uL25vdmllLWRvbWEv" TargetMode="External" /><Relationship Type="http://schemas.openxmlformats.org/officeDocument/2006/relationships/hyperlink" Id="rId20" Target="https://owa.mos.ru/owa/redir.aspx?REF=OOm2rrYV_wYoU33NC9AGR7hah2KEGgkDg8VcX4yA1X0-eSYExj7YCAFodHRwczovL3d3dy5tb3MucnUvY2l0eS9wcm9qZWN0cy9yZW5vdmF0aW9uLw.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blagoustroistvo/information/detail/9127896.html" TargetMode="External" /><Relationship Type="http://schemas.openxmlformats.org/officeDocument/2006/relationships/hyperlink" Id="rId21" Target="https://owa.mos.ru/owa/redir.aspx?REF=NsMQazJPg2eMfXZq0zZVqdx7HuoKDq7Q4hIp7UzAARQ-eSYExj7YCAFodHRwczovL3d3dy5tb3MucnUvY2l0eS9wcm9qZWN0cy9yZW5vdmF0aW9uL25vdmllLWRvbWEv" TargetMode="External" /><Relationship Type="http://schemas.openxmlformats.org/officeDocument/2006/relationships/hyperlink" Id="rId20" Target="https://owa.mos.ru/owa/redir.aspx?REF=OOm2rrYV_wYoU33NC9AGR7hah2KEGgkDg8VcX4yA1X0-eSYExj7YCAFodHRwczovL3d3dy5tb3MucnUvY2l0eS9wcm9qZWN0cy9yZW5vdmF0aW9uLw.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2025-05-12T22:28:36Z</dcterms:created>
  <dcterms:modified xsi:type="dcterms:W3CDTF">2025-05-12T22:28:36Z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