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ae3eb872eca9a7f4c440be4982769426c29abd"/>
    <w:p>
      <w:pPr>
        <w:pStyle w:val="Heading3"/>
      </w:pPr>
      <w:r>
        <w:t xml:space="preserve">Управление по контролю за оборотом наркотиков ГУ МВД России по г.Москве предупреждает</w:t>
      </w:r>
    </w:p>
    <w:p>
      <w:pPr>
        <w:pStyle w:val="FirstParagraph"/>
      </w:pPr>
      <w:r>
        <w:t xml:space="preserve">19.10.2020</w:t>
      </w:r>
    </w:p>
    <w:p>
      <w:pPr>
        <w:pStyle w:val="BodyText"/>
      </w:pPr>
      <w:r>
        <w:drawing>
          <wp:inline>
            <wp:extent cx="5334000" cy="72826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16c/pamyatka-po-obrashcheniyam-v-guvd-po-faktam-narkotikov_page_000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82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http://donskoy.mos.ru/kdnizp/events/detail/9335392.html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kdnizp/events/detail/93353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kdnizp/events/detail/93353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2025-05-12T23:28:03Z</dcterms:created>
  <dcterms:modified xsi:type="dcterms:W3CDTF">2025-05-12T23:28:03Z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