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4978c4cd3b852b05b3fad9b54d74f4e0a58d5"/>
    <w:p>
      <w:pPr>
        <w:pStyle w:val="Heading3"/>
      </w:pPr>
      <w:r>
        <w:t xml:space="preserve">О рекомендациях, как выбрать мясные полуфабрикаты</w:t>
      </w:r>
    </w:p>
    <w:p>
      <w:pPr>
        <w:pStyle w:val="FirstParagraph"/>
      </w:pPr>
      <w:r>
        <w:t xml:space="preserve">29.06.2021</w:t>
      </w:r>
    </w:p>
    <w:p>
      <w:pPr>
        <w:pStyle w:val="BodyText"/>
      </w:pPr>
      <w:r>
        <w:t xml:space="preserve">Роспотребнадзор напоминает, что мясные продукты являются важным источником белка и железа. В то же время они содержат достаточно большое количество жира, и это, в основном, насыщенные жирные кислоты, которые повышают риск развития гиперхолестеринемии и заболеваний сердечно-сосудистой системы. Один из принципов здорового питания ВОЗ относится к рациональному употреблению мясных продуктов, при котором необходимо по возможности заменить мясо и мясные продукты с высоким содержанием жира на бобовые, рыбу, птицу, яйца или постные сорта мяса. При этом порции мяса, рыбы или птицы должны быть небольшими.</w:t>
      </w:r>
    </w:p>
    <w:p>
      <w:pPr>
        <w:pStyle w:val="BodyText"/>
      </w:pPr>
      <w:r>
        <w:t xml:space="preserve">По статистике, каждый житель России употребляет за год около 40 кг мясопродуктов, по крайней мере, так их называют производители. При этом в состав мясных полуфабрикатов таких как сосиски входит большое количество пищевых добавок нитраты, нитриты, фосфаты, кошениль, каррагинан – всё это делает сосиски такими ароматными, вкусными и привлекательными на вид. От таких добавок может очень быстро развиться пищевая зависимость, особенно у детей. Диетологи не рекомендуют употреблять готовые колбасные изделия чаще 1-2 раз в неделю.</w:t>
      </w:r>
    </w:p>
    <w:p>
      <w:pPr>
        <w:pStyle w:val="BodyText"/>
      </w:pPr>
      <w:r>
        <w:t xml:space="preserve">Действующий ГОСТ 33673-2015 «Изделия колбасные вареные. Общие технические условия (с Поправкой)» подразделяет сосиски на группы:</w:t>
      </w:r>
    </w:p>
    <w:p>
      <w:pPr>
        <w:pStyle w:val="BodyText"/>
      </w:pPr>
      <w:r>
        <w:t xml:space="preserve">- мясные - с массовой долей мясных ингредиентов свыше 60,0%;</w:t>
      </w:r>
    </w:p>
    <w:p>
      <w:pPr>
        <w:pStyle w:val="BodyText"/>
      </w:pPr>
      <w:r>
        <w:t xml:space="preserve">- мясосодержащие - с массовой долей мясных ингредиентов от 5,0% до 60,0% включительно и на категории:</w:t>
      </w:r>
    </w:p>
    <w:p>
      <w:pPr>
        <w:pStyle w:val="BodyText"/>
      </w:pPr>
      <w:r>
        <w:t xml:space="preserve">- мясные колбасные изделия: А, Б, В, Г;</w:t>
      </w:r>
    </w:p>
    <w:p>
      <w:pPr>
        <w:pStyle w:val="BodyText"/>
      </w:pPr>
      <w:r>
        <w:t xml:space="preserve">- мясосодержащие колбасные изделия: В, Г.</w:t>
      </w:r>
    </w:p>
    <w:p>
      <w:pPr>
        <w:pStyle w:val="BodyText"/>
      </w:pPr>
      <w:r>
        <w:t xml:space="preserve">В мясных изделиях категории А содержание белка не менее 10%, категории Б – 8%, а вот жира в них содержится очень много. В изделиях категории А – до 36%, категории Б – до 45%. Содержание соли колеблется от 1,5 до 2,8 г. на 100гр. продукта. И это при суточной норме соли – не более 5 грамм, с учетом соли, входящей во все остальные продукты суточного рациона. Даже в сосисках для детского питания соли много – до 1г на 100 г продукта.</w:t>
      </w:r>
    </w:p>
    <w:p>
      <w:pPr>
        <w:pStyle w:val="BodyText"/>
      </w:pPr>
      <w:r>
        <w:t xml:space="preserve">Выбирая в магазине сосиски или сардельки внимательно изучите маркировку. Отдайте предпочтение изделиям категории А или Б – эта информация должна быть на этикетке.</w:t>
      </w:r>
    </w:p>
    <w:p>
      <w:pPr>
        <w:pStyle w:val="BodyText"/>
      </w:pPr>
      <w:r>
        <w:t xml:space="preserve">Кроме того, проверьте сроки годности и условия хранения. колбасные изделия должны храниться в холодильнике, при температуре не выше +6°С.</w:t>
      </w:r>
    </w:p>
    <w:p>
      <w:pPr>
        <w:pStyle w:val="BodyText"/>
      </w:pPr>
      <w:r>
        <w:t xml:space="preserve">Обратите внимание, что к продаже не допускаются колбасные изделия:</w:t>
      </w:r>
    </w:p>
    <w:p>
      <w:pPr>
        <w:pStyle w:val="BodyText"/>
      </w:pPr>
      <w:r>
        <w:t xml:space="preserve">- с загрязнением на оболочке;</w:t>
      </w:r>
    </w:p>
    <w:p>
      <w:pPr>
        <w:pStyle w:val="BodyText"/>
      </w:pPr>
      <w:r>
        <w:t xml:space="preserve">- с рыхлым фаршем;</w:t>
      </w:r>
    </w:p>
    <w:p>
      <w:pPr>
        <w:pStyle w:val="BodyText"/>
      </w:pPr>
      <w:r>
        <w:t xml:space="preserve">- с серым цветом батонов (батончиков);</w:t>
      </w:r>
    </w:p>
    <w:p>
      <w:pPr>
        <w:pStyle w:val="BodyText"/>
      </w:pPr>
      <w:r>
        <w:t xml:space="preserve">- с наличием бульонно-жировых отеков;</w:t>
      </w:r>
    </w:p>
    <w:p>
      <w:pPr>
        <w:pStyle w:val="BodyText"/>
      </w:pPr>
      <w:r>
        <w:t xml:space="preserve">- с наличием крупных пустот на разрезе батонов размером более 5 мм;</w:t>
      </w:r>
    </w:p>
    <w:p>
      <w:pPr>
        <w:pStyle w:val="BodyText"/>
      </w:pPr>
      <w:r>
        <w:t xml:space="preserve">- с лопнувшими или поломанными батонами;</w:t>
      </w:r>
    </w:p>
    <w:p>
      <w:pPr>
        <w:pStyle w:val="BodyText"/>
      </w:pPr>
      <w:r>
        <w:t xml:space="preserve">- с нарушением целостности оболочки батонов (батончиков) и/или упаковки (для продукции, упакованной под вакуумом или в модифицированной атмосфере.</w:t>
      </w:r>
    </w:p>
    <w:p>
      <w:pPr>
        <w:pStyle w:val="BodyText"/>
      </w:pPr>
      <w:r>
        <w:t xml:space="preserve">Диетологи не рекомендуют употреблять готовые колбасные изделия чаще 1-2 раз в неделю.</w:t>
      </w:r>
    </w:p>
    <w:p>
      <w:pPr>
        <w:pStyle w:val="BodyText"/>
      </w:pPr>
      <w:r>
        <w:rPr>
          <w:u w:val="single"/>
          <w:bCs/>
          <w:b/>
        </w:rPr>
        <w:t xml:space="preserve">Важно!</w:t>
      </w:r>
    </w:p>
    <w:p>
      <w:pPr>
        <w:pStyle w:val="BodyText"/>
      </w:pPr>
      <w:r>
        <w:rPr>
          <w:u w:val="single"/>
          <w:bCs/>
          <w:b/>
        </w:rPr>
        <w:t xml:space="preserve">Не покупайте продукты у случайных продавцов</w:t>
      </w:r>
    </w:p>
    <w:p>
      <w:pPr>
        <w:pStyle w:val="BodyText"/>
      </w:pPr>
      <w:r>
        <w:t xml:space="preserve">В соответствии с Правилами продажи отдельных видов товаров, утвержденных Постановлением Правительства РФ от 19.01.1998г. № 55 (далее Правила продажи) продавец обязан довести до сведения покупателя фирменное наименование (наименование) своей организации, место ее нахождения (юридический адрес) и режим работы, размещая указанную информацию на вывеске организации. Продавец – индивидуальный предприниматель должен предоставить покупателю информацию о государственной регистрации и наименовании зарегистрировавшего его органа. Указанная информация размещается в удобных для ознакомления местах.</w:t>
      </w:r>
    </w:p>
    <w:p>
      <w:pPr>
        <w:pStyle w:val="BodyText"/>
      </w:pPr>
      <w:r>
        <w:t xml:space="preserve">Аналогичная информация также должна быть доведена до сведения покупателей при осуществлении торговли во временных помещениях, на ярмарках, с лотков и т.д.</w:t>
      </w:r>
    </w:p>
    <w:p>
      <w:pPr>
        <w:pStyle w:val="BodyText"/>
      </w:pPr>
      <w:r>
        <w:t xml:space="preserve">При осуществлении разносной торговли представитель продавца должен иметь личную карточку, заверенную подписью лица, ответственного за ее оформление, и печатью продавца, с фотографией, указанием фамилии, имени, отчества представителя продавца, а также сведений о продавце.</w:t>
      </w:r>
    </w:p>
    <w:p>
      <w:pPr>
        <w:pStyle w:val="BodyText"/>
      </w:pPr>
      <w:r>
        <w:t xml:space="preserve">Если этой информации нет, то у такого продавца лучше продукцию не покупать.</w:t>
      </w:r>
    </w:p>
    <w:p>
      <w:pPr>
        <w:pStyle w:val="BodyText"/>
      </w:pPr>
      <w:r>
        <w:rPr>
          <w:bCs/>
          <w:b/>
        </w:rPr>
        <w:t xml:space="preserve">Мясные полуфабрикаты требуют специальных условий хранения, поэтому покупать их следует только в магазинах, оснащенных холодильным оборудованием, в том числе низкотемпературным.</w:t>
      </w:r>
    </w:p>
    <w:p>
      <w:pPr>
        <w:pStyle w:val="BodyText"/>
      </w:pPr>
      <w:r>
        <w:rPr>
          <w:u w:val="single"/>
          <w:bCs/>
          <w:b/>
        </w:rPr>
        <w:t xml:space="preserve">Условия хранения мясных полуфабрикатов</w:t>
      </w:r>
    </w:p>
    <w:p>
      <w:pPr>
        <w:pStyle w:val="BodyText"/>
      </w:pPr>
      <w:r>
        <w:t xml:space="preserve">При хранении и реализации мясных полуфабрикатов должны соблюдаться условия хранения и срок годности, установленные изготовителем. При покупке продукции необходимо обращать внимание на соответствие условий хранения, указанных изготовителем на этикетке фактическим.</w:t>
      </w:r>
    </w:p>
    <w:p>
      <w:pPr>
        <w:pStyle w:val="BodyText"/>
      </w:pPr>
      <w:r>
        <w:rPr>
          <w:u w:val="single"/>
          <w:bCs/>
          <w:b/>
        </w:rPr>
        <w:t xml:space="preserve">На что следует обращать внимание при покупке</w:t>
      </w:r>
    </w:p>
    <w:p>
      <w:pPr>
        <w:pStyle w:val="BodyText"/>
      </w:pPr>
      <w:r>
        <w:rPr>
          <w:bCs/>
          <w:b/>
        </w:rPr>
        <w:t xml:space="preserve">Внешний вид продукта :</w:t>
      </w:r>
    </w:p>
    <w:p>
      <w:pPr>
        <w:pStyle w:val="BodyText"/>
      </w:pPr>
      <w:r>
        <w:t xml:space="preserve">- целостность упаковки (упаковка должна быть без внешних дефектов, герметичной);</w:t>
      </w:r>
    </w:p>
    <w:p>
      <w:pPr>
        <w:pStyle w:val="BodyText"/>
      </w:pPr>
      <w:r>
        <w:t xml:space="preserve">- сохранность формы продукта (форма продукта должна соответствовать традиционному виду продукта, без следов повторного замораживания, заветривания, без деформации, отсутствие «снежной шубы» на замороженных полуфабрикатах);</w:t>
      </w:r>
    </w:p>
    <w:p>
      <w:pPr>
        <w:pStyle w:val="BodyText"/>
      </w:pPr>
      <w:r>
        <w:rPr>
          <w:bCs/>
          <w:b/>
        </w:rPr>
        <w:t xml:space="preserve">Этикетка:</w:t>
      </w:r>
    </w:p>
    <w:p>
      <w:pPr>
        <w:pStyle w:val="BodyText"/>
      </w:pPr>
      <w:r>
        <w:t xml:space="preserve">Маркировка должна быть на русском языке, а также понятной, легкочитаемой. Маркировка должна включать следующую информацию:</w:t>
      </w:r>
    </w:p>
    <w:p>
      <w:pPr>
        <w:pStyle w:val="BodyText"/>
      </w:pPr>
      <w:r>
        <w:t xml:space="preserve">- наименование продукции;</w:t>
      </w:r>
    </w:p>
    <w:p>
      <w:pPr>
        <w:pStyle w:val="BodyText"/>
      </w:pPr>
      <w:r>
        <w:t xml:space="preserve">- состав пищевой продукции;</w:t>
      </w:r>
    </w:p>
    <w:p>
      <w:pPr>
        <w:pStyle w:val="BodyText"/>
      </w:pPr>
      <w:r>
        <w:t xml:space="preserve">- количество (масса нетто) пищевой продукции;</w:t>
      </w:r>
    </w:p>
    <w:p>
      <w:pPr>
        <w:pStyle w:val="BodyText"/>
      </w:pPr>
      <w:r>
        <w:t xml:space="preserve">- дату изготовления пищевой продукции;</w:t>
      </w:r>
    </w:p>
    <w:p>
      <w:pPr>
        <w:pStyle w:val="BodyText"/>
      </w:pPr>
      <w:r>
        <w:t xml:space="preserve">- срок годности пищевой продукции;</w:t>
      </w:r>
    </w:p>
    <w:p>
      <w:pPr>
        <w:pStyle w:val="BodyText"/>
      </w:pPr>
      <w:r>
        <w:t xml:space="preserve">- условия хранения пищевой продукции;</w:t>
      </w:r>
    </w:p>
    <w:p>
      <w:pPr>
        <w:pStyle w:val="BodyText"/>
      </w:pPr>
      <w:r>
        <w:t xml:space="preserve">- наименование и место нахождения изготовителя;</w:t>
      </w:r>
    </w:p>
    <w:p>
      <w:pPr>
        <w:pStyle w:val="BodyText"/>
      </w:pPr>
      <w:r>
        <w:t xml:space="preserve">- рекомендации и (или) ограничения по использованию, в том числе приготовлению пищевой продукции;</w:t>
      </w:r>
    </w:p>
    <w:p>
      <w:pPr>
        <w:pStyle w:val="BodyText"/>
      </w:pPr>
      <w:r>
        <w:t xml:space="preserve">- показатели пищевой ценности;</w:t>
      </w:r>
    </w:p>
    <w:p>
      <w:pPr>
        <w:pStyle w:val="BodyText"/>
      </w:pPr>
      <w:r>
        <w:t xml:space="preserve">- сведения о наличии в пищевой продукции компонентов, полученных с применением генно-модифицированных организмов (ГМО).</w:t>
      </w:r>
    </w:p>
    <w:p>
      <w:pPr>
        <w:pStyle w:val="BodyText"/>
      </w:pPr>
      <w:r>
        <w:t xml:space="preserve">- единый знак обращения продукции на рынке государств - членов Таможенного союза (ЕАС).</w:t>
      </w:r>
    </w:p>
    <w:p>
      <w:pPr>
        <w:pStyle w:val="BodyText"/>
      </w:pPr>
      <w:r>
        <w:rPr>
          <w:bCs/>
          <w:b/>
        </w:rPr>
        <w:t xml:space="preserve">В случае возникновения сомнений в качестве мясных полуфабрикатов</w:t>
      </w:r>
      <w:r>
        <w:t xml:space="preserve"> </w:t>
      </w:r>
      <w:r>
        <w:t xml:space="preserve">требуйте документы об их происхождении и качестве (товаросопроводительные документы со сведениями о декларации о соответствии, или копию декларации о соответствии).</w:t>
      </w:r>
    </w:p>
    <w:p>
      <w:pPr>
        <w:pStyle w:val="BodyText"/>
      </w:pPr>
      <w:r>
        <w:rPr>
          <w:u w:val="single"/>
          <w:bCs/>
          <w:b/>
        </w:rPr>
        <w:t xml:space="preserve">Что делать, если вы все-таки приобрели некачественные мясные полуфабрикаты</w:t>
      </w:r>
    </w:p>
    <w:p>
      <w:pPr>
        <w:pStyle w:val="BodyText"/>
      </w:pPr>
      <w:r>
        <w:t xml:space="preserve">Необходимо обратиться к продавцу с просьбой вернуть деньги за товар ненадлежащего качества. Если вам не удалось добиться возврата денег или замены продукта при непосредственном общении с работниками магазина, то необходимо обратиться к продавцу товара с письменной претензией, составленной в двух экземплярах, в которой должны быть чётко сформулированы требования по поводу недостатков товара. Один экземпляр претензии необходимо вручить продавцу, либо направить письмом (желательно с уведомлением). В случае личного вручения претензии, на втором экземпляре продавец должен указать дату, должность, Ф.И.О. лица, принявшего претензию.</w:t>
      </w:r>
    </w:p>
    <w:p>
      <w:pPr>
        <w:pStyle w:val="BodyText"/>
      </w:pPr>
      <w:r>
        <w:t xml:space="preserve">Отсутствие у покупателя кассового или товарного чека либо иного документа, удостоверяющего факт и условия покупки товара, не является основанием для отказа в удовлетворении его требований и не лишает его возможности ссылаться на свидетельские показания в подтверждение заключения договора и его условий.</w:t>
      </w:r>
    </w:p>
    <w:p>
      <w:pPr>
        <w:pStyle w:val="BodyText"/>
      </w:pPr>
      <w:r>
        <w:t xml:space="preserve">Если был причинен вред здоровью или возникла такая угроза при приобретении продукции ненадлежащего качества, необходимо обратиться в соответствующее Управление Роспотребнадзора в вашем субъекте, по месту нахождения продавца, в письменном виде.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http://donskoy.mos.ru/potreb-rynok/information/detail/10067241.html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0067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0067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2025-04-03T05:32:27Z</dcterms:created>
  <dcterms:modified xsi:type="dcterms:W3CDTF">2025-04-03T05:32:27Z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