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30871d1c416aba02ffb9d895d8f94a7d1bd8e4"/>
    <w:p>
      <w:pPr>
        <w:pStyle w:val="Heading3"/>
      </w:pPr>
      <w:r>
        <w:t xml:space="preserve">С 1 по 20 июля 2022 года проводится декларационная кампания за 2 квартал 2022 года</w:t>
      </w:r>
    </w:p>
    <w:p>
      <w:pPr>
        <w:pStyle w:val="FirstParagraph"/>
      </w:pPr>
      <w:r>
        <w:t xml:space="preserve">05.07.2022</w:t>
      </w:r>
    </w:p>
    <w:p>
      <w:pPr>
        <w:pStyle w:val="BodyText"/>
      </w:pPr>
      <w:r>
        <w:t xml:space="preserve">Декларации об объеме оборота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2 квартал 2022 года</w:t>
      </w:r>
      <w:r>
        <w:t xml:space="preserve"> </w:t>
      </w:r>
      <w:r>
        <w:rPr>
          <w:bCs/>
          <w:b/>
        </w:rPr>
        <w:t xml:space="preserve">необходимо подать до 20 июля 2022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http://donskoy.mos.ru/potreb-rynok/information/detail/10914717.html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914717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914717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2025-03-29T15:48:53Z</dcterms:created>
  <dcterms:modified xsi:type="dcterms:W3CDTF">2025-03-29T15:48:53Z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