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438187c3b63728126924c72c16a38ccbb0e029"/>
    <w:p>
      <w:pPr>
        <w:pStyle w:val="Heading3"/>
      </w:pPr>
      <w:r>
        <w:t xml:space="preserve">Патентная система налогообложения (ПСН) (Глава 26.5 НГ РФ)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drawing>
          <wp:inline>
            <wp:extent cx="5334000" cy="278159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d75/2wz02ildn04nw7ehkmg140wfrci0nima/2023_03_09_12_37_2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15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7117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d8b/dvefi3v429d83ohu5h6azj0kkgov31a6/2023_03_09_12_37_4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711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http://donskoy.mos.ru/potreb-rynok/information/detail/11453610.html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donskoy.mos.ru" TargetMode="External" /><Relationship Type="http://schemas.openxmlformats.org/officeDocument/2006/relationships/hyperlink" Id="rId26" Target="http://donskoy.mos.ru/potreb-rynok/information/detail/11453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onskoy.mos.ru" TargetMode="External" /><Relationship Type="http://schemas.openxmlformats.org/officeDocument/2006/relationships/hyperlink" Id="rId26" Target="http://donskoy.mos.ru/potreb-rynok/information/detail/11453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2023-07-05T06:52:57Z</dcterms:created>
  <dcterms:modified xsi:type="dcterms:W3CDTF">2023-07-05T06:52:57Z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