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тематическое-консультирование"/>
    <w:p>
      <w:pPr>
        <w:pStyle w:val="Heading3"/>
      </w:pPr>
      <w:r>
        <w:t xml:space="preserve">Тематическое консультирование</w:t>
      </w:r>
    </w:p>
    <w:p>
      <w:pPr>
        <w:pStyle w:val="FirstParagraph"/>
      </w:pPr>
      <w:r>
        <w:t xml:space="preserve">23.05.2023</w:t>
      </w:r>
    </w:p>
    <w:p>
      <w:pPr>
        <w:pStyle w:val="BodyText"/>
      </w:pPr>
      <w:r>
        <w:drawing>
          <wp:inline>
            <wp:extent cx="5334000" cy="21408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e70/4vo8hboeku21przyikdujhpqsbrayekt/2023_05_23_09_01_3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0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http://donskoy.mos.ru/potreb-rynok/information/detail/11602538.html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potreb-rynok/information/detail/116025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potreb-rynok/information/detail/116025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2023-09-30T09:40:09Z</dcterms:created>
  <dcterms:modified xsi:type="dcterms:W3CDTF">2023-09-30T09:40:09Z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