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1376f282d883f4d14974ef37855551fe4ab32"/>
    <w:p>
      <w:pPr>
        <w:pStyle w:val="Heading3"/>
      </w:pPr>
      <w:r>
        <w:t xml:space="preserve">Доклад о защите прав потребителей за 2022 год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t xml:space="preserve">Роспотребнадзор информирует</w:t>
      </w:r>
    </w:p>
    <w:p>
      <w:pPr>
        <w:pStyle w:val="BodyText"/>
      </w:pPr>
      <w:r>
        <w:t xml:space="preserve">Основная работа Управления Роспотребнадзора по г. Москве была направлена на достижение основной цели – обеспечение благополучия населения, за счет снижения нагрузки административного воздействия на контролируемых лиц и профилактики нарушений обязательных требований.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http://donskoy.mos.ru/potreb-rynok/information/detail/11602776.html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027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027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2023-07-13T01:02:17Z</dcterms:created>
  <dcterms:modified xsi:type="dcterms:W3CDTF">2023-07-13T01:02:17Z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