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970c1c1285a428b192eff0048ea67b0e9bdfe"/>
    <w:p>
      <w:pPr>
        <w:pStyle w:val="Heading3"/>
      </w:pPr>
      <w:r>
        <w:t xml:space="preserve">Работа с маркировкой с 1 декабря 2023 года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hyperlink r:id="rId20">
        <w:r>
          <w:rPr>
            <w:rStyle w:val="Hyperlink"/>
          </w:rPr>
          <w:t xml:space="preserve">Как детским садам, школа, больницам и госучреждениям работать с маркировкой с 1 декабря 2023 года, инструкция.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http://donskoy.mos.ru/potreb-rynok/information/detail/12005344.html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dd8/4j3tnpi1h656jbchqjeg4y1dfcy1n5b3/markirovka.pdf" TargetMode="Externa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otreb-rynok/information/detail/12005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dd8/4j3tnpi1h656jbchqjeg4y1dfcy1n5b3/markirovka.pdf" TargetMode="Externa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otreb-rynok/information/detail/12005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2025-05-12T14:11:13Z</dcterms:created>
  <dcterms:modified xsi:type="dcterms:W3CDTF">2025-05-12T14:11:13Z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