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асленица-в-донском-районе"/>
    <w:p>
      <w:pPr>
        <w:pStyle w:val="Heading3"/>
      </w:pPr>
      <w:r>
        <w:t xml:space="preserve">Масленица в Донском районе</w:t>
      </w:r>
    </w:p>
    <w:p>
      <w:pPr>
        <w:pStyle w:val="FirstParagraph"/>
      </w:pPr>
      <w:r>
        <w:t xml:space="preserve">11.03.2021</w:t>
      </w:r>
    </w:p>
    <w:p>
      <w:pPr>
        <w:pStyle w:val="BodyText"/>
      </w:pPr>
      <w:r>
        <w:drawing>
          <wp:inline>
            <wp:extent cx="5334000" cy="77147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ec1/maslenits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147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http://donskoy.mos.ru/presscenter/officially/detail/9777430.html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presscenter/officially/detail/9777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presscenter/officially/detail/9777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2025-04-04T12:01:51Z</dcterms:created>
  <dcterms:modified xsi:type="dcterms:W3CDTF">2025-04-04T12:01:51Z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