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о-призыве-в-апреле-июле-2022-г."/>
    <w:p>
      <w:pPr>
        <w:pStyle w:val="Heading3"/>
      </w:pPr>
      <w:r>
        <w:t xml:space="preserve">О призыве в апреле-июле 2022 г.</w:t>
      </w:r>
    </w:p>
    <w:p>
      <w:pPr>
        <w:pStyle w:val="FirstParagraph"/>
      </w:pPr>
      <w:r>
        <w:t xml:space="preserve">24.02.2022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onskoy.mos.ru/www/upload/medialibrary/b5c/2022_02_24_17_00_0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http://donskoy.mos.ru/priziv/on-the-progress-of-the-recruiting-campaign/detail/10643998.html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priziv/on-the-progress-of-the-recruiting-campaign/detail/106439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priziv/on-the-progress-of-the-recruiting-campaign/detail/106439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2025-05-12T11:19:50Z</dcterms:created>
  <dcterms:modified xsi:type="dcterms:W3CDTF">2025-05-12T11:19:50Z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