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9f8e00e8572d76515fc846094fd005c087e14"/>
    <w:p>
      <w:pPr>
        <w:pStyle w:val="Heading3"/>
      </w:pPr>
      <w:r>
        <w:t xml:space="preserve">Прокурор разъясняет : на основании Федерального закона от 08.08.2024 N 267-ФЗ "О внесении изменений в Уголовно-процессуальный кодекс Российской Федерации"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с 5 февраля 2025 года свидание с адвокатом может проходить через видео-конференц-связь</w:t>
      </w:r>
    </w:p>
    <w:p>
      <w:pPr>
        <w:pStyle w:val="BodyText"/>
      </w:pPr>
      <w:r>
        <w:t xml:space="preserve">Такие свидания проводят по ходатайству подозреваемого (обвиняемого), заключенного под стражу. Необходимо согласие адвоката. Условие - есть подходящее помещение и техническая возможность. На встречах должны обеспечить конфиденциальность и сохранение адвокатской тайны.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2025-06-20T20:03:57Z</dcterms:created>
  <dcterms:modified xsi:type="dcterms:W3CDTF">2025-06-20T20:03:57Z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