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48f1505fe53b68893f4e5771f06a8c25803cbd"/>
    <w:p>
      <w:pPr>
        <w:pStyle w:val="Heading3"/>
      </w:pPr>
      <w:r>
        <w:t xml:space="preserve">Прокурор разъясняет На основании Федерального закона от 08.08.2024 N 226-ФЗ "О внесении изменений в Уголовный кодекс Российской Федерации и статьи 31 и 151 Уголовно-процессуального кодекса Российской Федерации"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С 1 сентября 2025 года вводят ответственность за пропаганду в интернете незаконного оборота и потребления наркотиков</w:t>
      </w:r>
    </w:p>
    <w:p>
      <w:pPr>
        <w:pStyle w:val="BodyText"/>
      </w:pPr>
      <w:r>
        <w:t xml:space="preserve">Норма распространяется на лиц, которых в течение года 2 раза привлекли к административной ответственности за аналогичные нарушения или которые имеют судимость по такой статье.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http://donskoy.mos.ru/safety-and-security/information-of-the-prosecutor-s-office-in-moscow-and-moscow-region/detail/13037364.html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2025-06-17T15:04:18Z</dcterms:created>
  <dcterms:modified xsi:type="dcterms:W3CDTF">2025-06-17T15:04:18Z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