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f0b3210b0ed5441f02c9a57641be0ea30fd04"/>
    <w:p>
      <w:pPr>
        <w:pStyle w:val="Heading3"/>
      </w:pPr>
      <w:r>
        <w:t xml:space="preserve">Прокурор разъясняет: на основании Федерального закона от 08.08.2024 N 227-ФЗ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"О внесении изменений в Федеральный закон "О несостоятельности (банкротстве)" и статьи 6 Федерального закона "О внесении изменений в Федеральный закон "О несостоятельности (банкротстве)" и отдельные законодательные акты Российской Федерации" с 1 сентября 2025 года СФР наделяется полномочиями по запросу у банков информации для процедуры внесудебного банкротства физлиц</w:t>
      </w:r>
    </w:p>
    <w:p>
      <w:pPr>
        <w:pStyle w:val="BodyText"/>
      </w:pPr>
      <w:r>
        <w:t xml:space="preserve">Законом закреплен такой механизм:</w:t>
      </w:r>
    </w:p>
    <w:p>
      <w:pPr>
        <w:pStyle w:val="BodyText"/>
      </w:pPr>
      <w:r>
        <w:t xml:space="preserve">- СФР запрашивает у ФНС информацию о банковских счетах физлица;</w:t>
      </w:r>
    </w:p>
    <w:p>
      <w:pPr>
        <w:pStyle w:val="BodyText"/>
      </w:pPr>
      <w:r>
        <w:t xml:space="preserve">- далее СФР направляет запрос в банк о наличии ряда условий для признания физлица банкротом;</w:t>
      </w:r>
    </w:p>
    <w:p>
      <w:pPr>
        <w:pStyle w:val="BodyText"/>
      </w:pPr>
      <w:r>
        <w:t xml:space="preserve">- у банка есть 3 рабочих дня, чтобы ответить на запрос СФР;</w:t>
      </w:r>
    </w:p>
    <w:p>
      <w:pPr>
        <w:pStyle w:val="BodyText"/>
      </w:pPr>
      <w:r>
        <w:t xml:space="preserve">- порядок взаимодействия с банками СФР устанавливает по согласованию с ЦБ РФ.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http://donskoy.mos.ru/safety-and-security/information-of-the-prosecutor-s-office-in-moscow-and-moscow-region/detail/13037375.html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2025-07-30T15:06:58Z</dcterms:created>
  <dcterms:modified xsi:type="dcterms:W3CDTF">2025-07-30T15:06:58Z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