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aeee7a40dc18d07ffafeeb5358684f1b819f6"/>
    <w:p>
      <w:pPr>
        <w:pStyle w:val="Heading3"/>
      </w:pPr>
      <w:r>
        <w:t xml:space="preserve">Симоновская межрайонная прокуратура г. Москвы разъясняет, что с 11 марта 2025 года часть 2 статьи 167 Уголовного кодекса Российской Федерации дополнена новым квалифицирующим признаком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Теперь за умышленные уничтожение или повреждение имущества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грозит наказание до пяти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Федеральный закон от 28.02.2025 № 31-ФЗ "О внесении изменения в статью 167 Уголовного кодекса Российской Федерации"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http://donskoy.mos.ru/safety-and-security/simonovsky-prosecutor-s-office-informs/detail/12980042.html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2980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2980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2025-05-21T13:42:45Z</dcterms:created>
  <dcterms:modified xsi:type="dcterms:W3CDTF">2025-05-21T13:42:45Z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