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b19f666cbfcc490f1ef5a5bd4f8ceac860480"/>
    <w:p>
      <w:pPr>
        <w:pStyle w:val="Heading3"/>
      </w:pPr>
      <w:r>
        <w:t xml:space="preserve">Ограничено применение меры пресечения в виде заключения под стражу к отдельным категориям лиц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Федеральным законом от 28.02.2025 №13-ФЗ внесены изменения в Уголовно-процессуальный кодекс Российской Федерации.</w:t>
      </w:r>
    </w:p>
    <w:p>
      <w:pPr>
        <w:pStyle w:val="BodyText"/>
      </w:pPr>
      <w:r>
        <w:t xml:space="preserve"> </w:t>
      </w:r>
      <w:r>
        <w:br/>
      </w:r>
      <w:r>
        <w:t xml:space="preserve">В частности, данным Федеральным законом установлены ограничения на применение меры пресечения в виде заключения под стражу к подозреваемому и обвиняемому в совершении преступления ненасильственного характера, несовершеннолетнему, беременной женщине, женщине, имеющей малолетнего ребёнка, мужчине, являющемуся единственным родителем малолетнего ребёнка, усыновителю или опекуну малолетнего ребёнка, единственному родителю, усыновителю, опекуну или попечителю ребёнка-инвалида. Эта мера пресечения также не может быть избрана в отношении подозреваемого или обвиняемого в совершении преступления в случае, если он страдает тяжелым заболеванием, которое включено в перечень, утвержденный Правительством, и наличие которого подтверждено медицинскими документами. </w:t>
      </w:r>
    </w:p>
    <w:p>
      <w:pPr>
        <w:pStyle w:val="BodyText"/>
      </w:pPr>
      <w:r>
        <w:t xml:space="preserve">Кроме того, указанным Федеральным законом уточняется используемая в Уголовно-процессуальном кодексе Российской Федерации терминология.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http://donskoy.mos.ru/safety-and-security/simonovsky-prosecutor-s-office-informs/detail/13055115.html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551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551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2025-07-07T17:58:53Z</dcterms:created>
  <dcterms:modified xsi:type="dcterms:W3CDTF">2025-07-07T17:58:53Z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