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d9a9e966d89ba54af1adfcb0a57be23169304"/>
    <w:p>
      <w:pPr>
        <w:pStyle w:val="Heading3"/>
      </w:pPr>
      <w:r>
        <w:t xml:space="preserve">Межрайонной прокуратурой проведена проверка исполнения законодательства о защите детей от информации, причиняющей вред их здоровью и развитию, при организации концерта зарубежного исполнителя Т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В ходе проверки установлено, что 31.05.2025 на поднадзорной межрайонной прокуратуре территории запланирован концерт зарубежного исполнителя с возрастным ограничением 16+.</w:t>
      </w:r>
    </w:p>
    <w:p>
      <w:pPr>
        <w:pStyle w:val="BodyText"/>
      </w:pPr>
      <w:r>
        <w:t xml:space="preserve">Изучение концертного плей-листа показало наличие ряда композиций, исполнение которых запрещено на территории Российской Федерации для лиц младше 18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результатам принятых мер прокурорского реагирования возрастное ограничение изменено, концерт проведен с соблюдением требований федерального законодательства, виновные должностные лица привлечены к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http://donskoy.mos.ru/safety-and-security/simonovsky-prosecutor-s-office-informs/detail/13064089.html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64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64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2025-07-30T05:44:12Z</dcterms:created>
  <dcterms:modified xsi:type="dcterms:W3CDTF">2025-07-30T05:44:12Z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