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a66cc46c4279602c6d169cd525cbd049e5957c"/>
    <w:p>
      <w:pPr>
        <w:pStyle w:val="Heading3"/>
      </w:pPr>
      <w:r>
        <w:t xml:space="preserve">Бесплатная вакцинация животных против бешенства</w:t>
      </w:r>
    </w:p>
    <w:p>
      <w:pPr>
        <w:pStyle w:val="FirstParagraph"/>
      </w:pPr>
      <w:r>
        <w:t xml:space="preserve">26.04.2019</w:t>
      </w:r>
    </w:p>
    <w:p>
      <w:pPr>
        <w:pStyle w:val="BodyText"/>
      </w:pPr>
      <w:r>
        <w:drawing>
          <wp:inline>
            <wp:extent cx="5334000" cy="728796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243/skrinshot-26_04_2019-17531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7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http://donskoy.mos.ru/social-sphere/the-state-veterinary-service/detail/8052778.html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80527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80527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2025-04-29T22:52:04Z</dcterms:created>
  <dcterms:modified xsi:type="dcterms:W3CDTF">2025-04-29T22:52:04Z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