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7f47cfceb57ceeecc266a7945810d67f305ae"/>
    <w:p>
      <w:pPr>
        <w:pStyle w:val="Heading3"/>
      </w:pPr>
      <w:r>
        <w:t xml:space="preserve">План график проведения вакцинации домашних животных против бешенства на прививочных пунктах Южного административного округа города Москвы на 2021 год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http://donskoy.mos.ru/social-sphere/the-state-veterinary-service/detail/9505860.html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95058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95058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2025-05-12T20:41:42Z</dcterms:created>
  <dcterms:modified xsi:type="dcterms:W3CDTF">2025-05-12T20:41:42Z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