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784daf1c4a037d3d217a017052c6fe3fa1d7df"/>
    <w:p>
      <w:pPr>
        <w:pStyle w:val="Heading3"/>
      </w:pPr>
      <w:r>
        <w:t xml:space="preserve">Распоряжение Об организации дополнительной прививочной кампании против бешенства домашних животных на территории Южного административного округа в 2021 году</w:t>
      </w:r>
    </w:p>
    <w:p>
      <w:pPr>
        <w:pStyle w:val="FirstParagraph"/>
      </w:pPr>
      <w:r>
        <w:t xml:space="preserve">30.12.2020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http://donskoy.mos.ru/social-sphere/the-state-veterinary-service/detail/9608405.html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96084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96084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2025-05-12T20:40:11Z</dcterms:created>
  <dcterms:modified xsi:type="dcterms:W3CDTF">2025-05-12T20:40:11Z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