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гбу-мосветобъединение-сообщает"/>
    <w:p>
      <w:pPr>
        <w:pStyle w:val="Heading3"/>
      </w:pPr>
      <w:r>
        <w:t xml:space="preserve">ГБУ "Мосветобъединение" сообщает</w:t>
      </w:r>
    </w:p>
    <w:p>
      <w:pPr>
        <w:pStyle w:val="FirstParagraph"/>
      </w:pPr>
      <w:r>
        <w:t xml:space="preserve">01.02.2021</w:t>
      </w:r>
    </w:p>
    <w:p>
      <w:pPr>
        <w:pStyle w:val="BodyText"/>
      </w:pPr>
      <w:r>
        <w:drawing>
          <wp:inline>
            <wp:extent cx="5334000" cy="376609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onskoy.mos.ru/www/upload/medialibrary/772/aktsiya-vaktsinatsiya-dlya-uprav_page_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6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http://donskoy.mos.ru/social-sphere/the-state-veterinary-service/detail/9678314.html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social-sphere/the-state-veterinary-service/detail/96783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social-sphere/the-state-veterinary-service/detail/96783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2025-05-12T20:38:32Z</dcterms:created>
  <dcterms:modified xsi:type="dcterms:W3CDTF">2025-05-12T20:38:32Z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