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406000d2707a6da5987489eb6a8c8ea910070"/>
    <w:p>
      <w:pPr>
        <w:pStyle w:val="Heading3"/>
      </w:pPr>
      <w:r>
        <w:t xml:space="preserve">«График вакцинации животных против бешенства»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hyperlink r:id="rId20">
        <w:r>
          <w:rPr>
            <w:rStyle w:val="Hyperlink"/>
          </w:rPr>
          <w:t xml:space="preserve">https://www.mos.ru/moskomvet/function/punkti_vakcinacii/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http://donskoy.mos.ru/social-sphere/the-state-veterinary-service/detail/9723039.html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3039.html" TargetMode="External" /><Relationship Type="http://schemas.openxmlformats.org/officeDocument/2006/relationships/hyperlink" Id="rId20" Target="https://www.mos.ru/moskomvet/function/punkti_vakcinaci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3039.html" TargetMode="External" /><Relationship Type="http://schemas.openxmlformats.org/officeDocument/2006/relationships/hyperlink" Id="rId20" Target="https://www.mos.ru/moskomvet/function/punkti_vakcinaci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2025-05-12T20:42:23Z</dcterms:created>
  <dcterms:modified xsi:type="dcterms:W3CDTF">2025-05-12T20:42:23Z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